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859" w:rsidRPr="004F5859" w:rsidRDefault="004F5859" w:rsidP="004F5859">
      <w:pPr>
        <w:jc w:val="both"/>
        <w:rPr>
          <w:sz w:val="32"/>
          <w:szCs w:val="32"/>
          <w:rtl/>
        </w:rPr>
      </w:pPr>
      <w:r w:rsidRPr="004F5859">
        <w:rPr>
          <w:rFonts w:hint="cs"/>
          <w:sz w:val="32"/>
          <w:szCs w:val="32"/>
          <w:rtl/>
        </w:rPr>
        <w:t xml:space="preserve">المصعد في نقد المسرح </w:t>
      </w:r>
    </w:p>
    <w:p w:rsidR="004A5318" w:rsidRPr="004F5859" w:rsidRDefault="004F5859" w:rsidP="004F5859">
      <w:pPr>
        <w:jc w:val="both"/>
        <w:rPr>
          <w:rFonts w:hint="cs"/>
          <w:sz w:val="32"/>
          <w:szCs w:val="32"/>
        </w:rPr>
      </w:pPr>
      <w:r w:rsidRPr="004F5859">
        <w:rPr>
          <w:rFonts w:hint="cs"/>
          <w:sz w:val="32"/>
          <w:szCs w:val="32"/>
          <w:rtl/>
        </w:rPr>
        <w:t xml:space="preserve">الكتاب </w:t>
      </w:r>
      <w:r w:rsidRPr="004F5859">
        <w:rPr>
          <w:sz w:val="32"/>
          <w:szCs w:val="32"/>
          <w:rtl/>
        </w:rPr>
        <w:t>النقدي الموسوم بـ«المصعد: في نقد المسرح»، صدر في 5 يونيو 2018م عن دار اليازوري العلمية، و«دروب للنشر» في عمّان بالأردن</w:t>
      </w:r>
      <w:r w:rsidRPr="004F5859">
        <w:rPr>
          <w:sz w:val="32"/>
          <w:szCs w:val="32"/>
        </w:rPr>
        <w:t>.</w:t>
      </w:r>
      <w:r w:rsidRPr="004F5859">
        <w:rPr>
          <w:sz w:val="32"/>
          <w:szCs w:val="32"/>
        </w:rPr>
        <w:br/>
      </w:r>
      <w:r w:rsidRPr="004F5859">
        <w:rPr>
          <w:sz w:val="32"/>
          <w:szCs w:val="32"/>
          <w:rtl/>
        </w:rPr>
        <w:t>وقد استفدت من تجربتي الطويلة في تحليل ودراسة الكثير من الأعمال الفنية نظريا وتطبيقا وكانت قراءتي المتواصلة في حقول الفن والفكر والأدب والفلسفة والإبداع والتعبير، منهجية، ولم أتبع لأي مقاييس في الكتاب، كما لم أتنكر لها أيضا</w:t>
      </w:r>
      <w:r w:rsidRPr="004F5859">
        <w:rPr>
          <w:sz w:val="32"/>
          <w:szCs w:val="32"/>
        </w:rPr>
        <w:t>.</w:t>
      </w:r>
      <w:r w:rsidRPr="004F5859">
        <w:rPr>
          <w:sz w:val="32"/>
          <w:szCs w:val="32"/>
        </w:rPr>
        <w:br/>
      </w:r>
      <w:r w:rsidRPr="004F5859">
        <w:rPr>
          <w:sz w:val="32"/>
          <w:szCs w:val="32"/>
          <w:rtl/>
        </w:rPr>
        <w:t>يقع  الكتاب في 100صفحة من القطع المتوسط، محتوياً على 17 مبحثا على النحو الآتي</w:t>
      </w:r>
      <w:r w:rsidRPr="004F5859">
        <w:rPr>
          <w:sz w:val="32"/>
          <w:szCs w:val="32"/>
        </w:rPr>
        <w:t>:</w:t>
      </w:r>
      <w:r w:rsidRPr="004F5859">
        <w:rPr>
          <w:sz w:val="32"/>
          <w:szCs w:val="32"/>
        </w:rPr>
        <w:br/>
        <w:t>«</w:t>
      </w:r>
      <w:r w:rsidRPr="004F5859">
        <w:rPr>
          <w:sz w:val="32"/>
          <w:szCs w:val="32"/>
          <w:rtl/>
        </w:rPr>
        <w:t>مأزق مسرحي عربي آخر: المسرح وعاء يجسد الثقافة أم حُقَب وأنظمة!، المسرح العربي.. حالة غياب؟! قراءة في رسالة «</w:t>
      </w:r>
      <w:proofErr w:type="spellStart"/>
      <w:r w:rsidRPr="004F5859">
        <w:rPr>
          <w:sz w:val="32"/>
          <w:szCs w:val="32"/>
          <w:rtl/>
        </w:rPr>
        <w:t>عايدابي</w:t>
      </w:r>
      <w:proofErr w:type="spellEnd"/>
      <w:r w:rsidRPr="004F5859">
        <w:rPr>
          <w:sz w:val="32"/>
          <w:szCs w:val="32"/>
          <w:rtl/>
        </w:rPr>
        <w:t xml:space="preserve">» لليوم العربي للمسرح 2015، المسرح المقاوم والمثاقفة </w:t>
      </w:r>
      <w:proofErr w:type="gramStart"/>
      <w:r w:rsidRPr="004F5859">
        <w:rPr>
          <w:sz w:val="32"/>
          <w:szCs w:val="32"/>
          <w:rtl/>
        </w:rPr>
        <w:t>المعكوسة..</w:t>
      </w:r>
      <w:proofErr w:type="gramEnd"/>
      <w:r w:rsidRPr="004F5859">
        <w:rPr>
          <w:sz w:val="32"/>
          <w:szCs w:val="32"/>
          <w:rtl/>
        </w:rPr>
        <w:t xml:space="preserve"> قراءة في رسالة زيناتي قدسية لليوم العربي للمسرح 2016، المعادل الموضوعي في مسرحية «مدينة في ثلاث فصول»، </w:t>
      </w:r>
      <w:proofErr w:type="spellStart"/>
      <w:r w:rsidRPr="004F5859">
        <w:rPr>
          <w:sz w:val="32"/>
          <w:szCs w:val="32"/>
          <w:rtl/>
        </w:rPr>
        <w:t>ثيمة</w:t>
      </w:r>
      <w:proofErr w:type="spellEnd"/>
      <w:r w:rsidRPr="004F5859">
        <w:rPr>
          <w:sz w:val="32"/>
          <w:szCs w:val="32"/>
          <w:rtl/>
        </w:rPr>
        <w:t xml:space="preserve"> «الرؤيا» ودلالتها في مسرحية لا تقصص رؤياك لإسماعيل عبدالله، قراءة نقدية مقارنة بين فيلم كتاب إيلاي ومسرحية تاجر البندقية ورواية شفرة دافنشي، سلطة القناعات وفكرة «الأغيار» في مسرحية «دجلة الشهيد» للكاتب عبدالله </w:t>
      </w:r>
      <w:proofErr w:type="spellStart"/>
      <w:r w:rsidRPr="004F5859">
        <w:rPr>
          <w:sz w:val="32"/>
          <w:szCs w:val="32"/>
          <w:rtl/>
        </w:rPr>
        <w:t>الإرياني</w:t>
      </w:r>
      <w:proofErr w:type="spellEnd"/>
      <w:r w:rsidRPr="004F5859">
        <w:rPr>
          <w:sz w:val="32"/>
          <w:szCs w:val="32"/>
          <w:rtl/>
        </w:rPr>
        <w:t>، قراءة مقارنة بين مسرحية الملك هو الملك ومسرحية الزعيم، من آريك بنتلي إلى عبدالمجيد شكير... قراءة في كتاب عناصر التركيب الجمالي في العرض المسرحي، كيف نستخدم العلم لخدمة الفن! «</w:t>
      </w:r>
      <w:proofErr w:type="spellStart"/>
      <w:r w:rsidRPr="004F5859">
        <w:rPr>
          <w:sz w:val="32"/>
          <w:szCs w:val="32"/>
          <w:rtl/>
        </w:rPr>
        <w:t>المونو</w:t>
      </w:r>
      <w:proofErr w:type="spellEnd"/>
      <w:r w:rsidRPr="004F5859">
        <w:rPr>
          <w:sz w:val="32"/>
          <w:szCs w:val="32"/>
          <w:rtl/>
        </w:rPr>
        <w:t xml:space="preserve"> دراما» نموذجاً، قراءة نقدية في المسرحية </w:t>
      </w:r>
      <w:proofErr w:type="spellStart"/>
      <w:r w:rsidRPr="004F5859">
        <w:rPr>
          <w:sz w:val="32"/>
          <w:szCs w:val="32"/>
          <w:rtl/>
        </w:rPr>
        <w:t>المونودرامية</w:t>
      </w:r>
      <w:proofErr w:type="spellEnd"/>
      <w:r w:rsidRPr="004F5859">
        <w:rPr>
          <w:sz w:val="32"/>
          <w:szCs w:val="32"/>
          <w:rtl/>
        </w:rPr>
        <w:t xml:space="preserve"> «</w:t>
      </w:r>
      <w:proofErr w:type="spellStart"/>
      <w:r w:rsidRPr="004F5859">
        <w:rPr>
          <w:sz w:val="32"/>
          <w:szCs w:val="32"/>
          <w:rtl/>
        </w:rPr>
        <w:t>ياراجويا</w:t>
      </w:r>
      <w:proofErr w:type="spellEnd"/>
      <w:r w:rsidRPr="004F5859">
        <w:rPr>
          <w:sz w:val="32"/>
          <w:szCs w:val="32"/>
          <w:rtl/>
        </w:rPr>
        <w:t xml:space="preserve">» </w:t>
      </w:r>
      <w:proofErr w:type="spellStart"/>
      <w:r w:rsidRPr="004F5859">
        <w:rPr>
          <w:sz w:val="32"/>
          <w:szCs w:val="32"/>
          <w:rtl/>
        </w:rPr>
        <w:t>الأنيما</w:t>
      </w:r>
      <w:proofErr w:type="spellEnd"/>
      <w:r w:rsidRPr="004F5859">
        <w:rPr>
          <w:sz w:val="32"/>
          <w:szCs w:val="32"/>
          <w:rtl/>
        </w:rPr>
        <w:t xml:space="preserve"> </w:t>
      </w:r>
      <w:proofErr w:type="spellStart"/>
      <w:r w:rsidRPr="004F5859">
        <w:rPr>
          <w:sz w:val="32"/>
          <w:szCs w:val="32"/>
          <w:rtl/>
        </w:rPr>
        <w:t>والأنيموس</w:t>
      </w:r>
      <w:proofErr w:type="spellEnd"/>
      <w:r w:rsidRPr="004F5859">
        <w:rPr>
          <w:sz w:val="32"/>
          <w:szCs w:val="32"/>
          <w:rtl/>
        </w:rPr>
        <w:t xml:space="preserve">... الثنائية الجنسية وصراع التعلل والانتقال </w:t>
      </w:r>
      <w:proofErr w:type="spellStart"/>
      <w:r w:rsidRPr="004F5859">
        <w:rPr>
          <w:sz w:val="32"/>
          <w:szCs w:val="32"/>
          <w:rtl/>
        </w:rPr>
        <w:t>المونودرامي</w:t>
      </w:r>
      <w:proofErr w:type="spellEnd"/>
      <w:r w:rsidRPr="004F5859">
        <w:rPr>
          <w:sz w:val="32"/>
          <w:szCs w:val="32"/>
          <w:rtl/>
        </w:rPr>
        <w:t xml:space="preserve">، معظم مسرحياته مستوحاة من </w:t>
      </w:r>
      <w:proofErr w:type="spellStart"/>
      <w:r w:rsidRPr="004F5859">
        <w:rPr>
          <w:sz w:val="32"/>
          <w:szCs w:val="32"/>
          <w:rtl/>
        </w:rPr>
        <w:t>ميثيولوجيات</w:t>
      </w:r>
      <w:proofErr w:type="spellEnd"/>
      <w:r w:rsidRPr="004F5859">
        <w:rPr>
          <w:sz w:val="32"/>
          <w:szCs w:val="32"/>
          <w:rtl/>
        </w:rPr>
        <w:t xml:space="preserve"> إغريقية: </w:t>
      </w:r>
      <w:proofErr w:type="spellStart"/>
      <w:r w:rsidRPr="004F5859">
        <w:rPr>
          <w:sz w:val="32"/>
          <w:szCs w:val="32"/>
          <w:rtl/>
        </w:rPr>
        <w:t>التناص</w:t>
      </w:r>
      <w:proofErr w:type="spellEnd"/>
      <w:r w:rsidRPr="004F5859">
        <w:rPr>
          <w:sz w:val="32"/>
          <w:szCs w:val="32"/>
          <w:rtl/>
        </w:rPr>
        <w:t xml:space="preserve"> التاريخي «استعارة الهياكل»، في مسرح شكسبير، رؤية فلسفية: علاقة المشاركة بين المتلقي والدمية... غائية فن الدمى واللعب من منظور </w:t>
      </w:r>
      <w:proofErr w:type="spellStart"/>
      <w:r w:rsidRPr="004F5859">
        <w:rPr>
          <w:sz w:val="32"/>
          <w:szCs w:val="32"/>
          <w:rtl/>
        </w:rPr>
        <w:t>غادامير</w:t>
      </w:r>
      <w:proofErr w:type="spellEnd"/>
      <w:r w:rsidRPr="004F5859">
        <w:rPr>
          <w:sz w:val="32"/>
          <w:szCs w:val="32"/>
          <w:rtl/>
        </w:rPr>
        <w:t xml:space="preserve"> الفلسفي، دمى المسرح والروبوتات!؟، مسرح التغيير في اليمن... دراسة تطبيقية في مسرحية «ملامح شظايا»،</w:t>
      </w:r>
      <w:bookmarkStart w:id="0" w:name="_GoBack"/>
      <w:bookmarkEnd w:id="0"/>
      <w:r w:rsidRPr="004F5859">
        <w:rPr>
          <w:sz w:val="32"/>
          <w:szCs w:val="32"/>
          <w:rtl/>
        </w:rPr>
        <w:t xml:space="preserve"> عن لعنة المعرفة والتمركز حول الذات في الثقافة والفنون العربية</w:t>
      </w:r>
      <w:r w:rsidRPr="004F5859">
        <w:rPr>
          <w:sz w:val="32"/>
          <w:szCs w:val="32"/>
        </w:rPr>
        <w:t>.</w:t>
      </w:r>
    </w:p>
    <w:sectPr w:rsidR="004A5318" w:rsidRPr="004F5859" w:rsidSect="00E553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59"/>
    <w:rsid w:val="004A5318"/>
    <w:rsid w:val="004F5859"/>
    <w:rsid w:val="00E55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8E5AB-9D19-4ECE-AD07-D699751D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alsuraimi 2</dc:creator>
  <cp:keywords/>
  <dc:description/>
  <cp:lastModifiedBy>alsuraimi 2</cp:lastModifiedBy>
  <cp:revision>1</cp:revision>
  <dcterms:created xsi:type="dcterms:W3CDTF">2020-09-17T22:10:00Z</dcterms:created>
  <dcterms:modified xsi:type="dcterms:W3CDTF">2020-09-17T22:11:00Z</dcterms:modified>
</cp:coreProperties>
</file>